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E2" w:rsidRPr="006B71E0" w:rsidRDefault="00D63EE2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Par46"/>
      <w:bookmarkEnd w:id="0"/>
      <w:r w:rsidRPr="006B71E0">
        <w:rPr>
          <w:rFonts w:ascii="Times New Roman" w:hAnsi="Times New Roman" w:cs="Times New Roman"/>
        </w:rPr>
        <w:t>Паспорт</w:t>
      </w:r>
    </w:p>
    <w:p w:rsidR="00D63EE2" w:rsidRPr="006B71E0" w:rsidRDefault="00D63EE2">
      <w:pPr>
        <w:pStyle w:val="ConsPlusTitle"/>
        <w:jc w:val="center"/>
        <w:rPr>
          <w:rFonts w:ascii="Times New Roman" w:hAnsi="Times New Roman" w:cs="Times New Roman"/>
        </w:rPr>
      </w:pPr>
      <w:r w:rsidRPr="006B71E0">
        <w:rPr>
          <w:rFonts w:ascii="Times New Roman" w:hAnsi="Times New Roman" w:cs="Times New Roman"/>
        </w:rPr>
        <w:t>государственной программы Ханты-Мансийского автономного</w:t>
      </w:r>
    </w:p>
    <w:p w:rsidR="00D63EE2" w:rsidRPr="006B71E0" w:rsidRDefault="00D63EE2">
      <w:pPr>
        <w:pStyle w:val="ConsPlusTitle"/>
        <w:jc w:val="center"/>
        <w:rPr>
          <w:rFonts w:ascii="Times New Roman" w:hAnsi="Times New Roman" w:cs="Times New Roman"/>
        </w:rPr>
      </w:pPr>
      <w:r w:rsidRPr="006B71E0">
        <w:rPr>
          <w:rFonts w:ascii="Times New Roman" w:hAnsi="Times New Roman" w:cs="Times New Roman"/>
        </w:rPr>
        <w:t xml:space="preserve">округа </w:t>
      </w:r>
      <w:r w:rsidR="001720C4" w:rsidRPr="006B71E0">
        <w:rPr>
          <w:rFonts w:ascii="Times New Roman" w:hAnsi="Times New Roman" w:cs="Times New Roman"/>
        </w:rPr>
        <w:t>–</w:t>
      </w:r>
      <w:r w:rsidRPr="006B71E0">
        <w:rPr>
          <w:rFonts w:ascii="Times New Roman" w:hAnsi="Times New Roman" w:cs="Times New Roman"/>
        </w:rPr>
        <w:t xml:space="preserve"> Югры "Реализация государственн</w:t>
      </w:r>
      <w:bookmarkStart w:id="1" w:name="_GoBack"/>
      <w:bookmarkEnd w:id="1"/>
      <w:r w:rsidRPr="006B71E0">
        <w:rPr>
          <w:rFonts w:ascii="Times New Roman" w:hAnsi="Times New Roman" w:cs="Times New Roman"/>
        </w:rPr>
        <w:t xml:space="preserve">ой </w:t>
      </w:r>
      <w:proofErr w:type="gramStart"/>
      <w:r w:rsidRPr="006B71E0">
        <w:rPr>
          <w:rFonts w:ascii="Times New Roman" w:hAnsi="Times New Roman" w:cs="Times New Roman"/>
        </w:rPr>
        <w:t>национальной</w:t>
      </w:r>
      <w:proofErr w:type="gramEnd"/>
    </w:p>
    <w:p w:rsidR="00D63EE2" w:rsidRPr="006B71E0" w:rsidRDefault="00D63EE2">
      <w:pPr>
        <w:pStyle w:val="ConsPlusTitle"/>
        <w:jc w:val="center"/>
        <w:rPr>
          <w:rFonts w:ascii="Times New Roman" w:hAnsi="Times New Roman" w:cs="Times New Roman"/>
        </w:rPr>
      </w:pPr>
      <w:r w:rsidRPr="006B71E0">
        <w:rPr>
          <w:rFonts w:ascii="Times New Roman" w:hAnsi="Times New Roman" w:cs="Times New Roman"/>
        </w:rPr>
        <w:t>политики и профилактика экстремизма"</w:t>
      </w:r>
    </w:p>
    <w:p w:rsidR="00D63EE2" w:rsidRPr="006B71E0" w:rsidRDefault="00D63EE2">
      <w:pPr>
        <w:pStyle w:val="ConsPlusTitle"/>
        <w:jc w:val="center"/>
        <w:rPr>
          <w:rFonts w:ascii="Times New Roman" w:hAnsi="Times New Roman" w:cs="Times New Roman"/>
        </w:rPr>
      </w:pPr>
      <w:r w:rsidRPr="006B71E0">
        <w:rPr>
          <w:rFonts w:ascii="Times New Roman" w:hAnsi="Times New Roman" w:cs="Times New Roman"/>
        </w:rPr>
        <w:t>(далее - государственная программа)</w:t>
      </w:r>
    </w:p>
    <w:p w:rsidR="00D63EE2" w:rsidRPr="00720986" w:rsidRDefault="00D63EE2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Наименование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 xml:space="preserve">Реализация государственной </w:t>
            </w:r>
            <w:proofErr w:type="gramStart"/>
            <w:r w:rsidRPr="006B71E0">
              <w:t>национальной</w:t>
            </w:r>
            <w:proofErr w:type="gramEnd"/>
            <w:r w:rsidRPr="006B71E0">
              <w:t xml:space="preserve"> политики и профилактика экстремизма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постановление Правительства Ханты-Мансийского автономного округа </w:t>
            </w:r>
            <w:r w:rsidR="001720C4" w:rsidRPr="006B71E0">
              <w:t>–</w:t>
            </w:r>
            <w:r w:rsidRPr="006B71E0">
              <w:t xml:space="preserve"> Югры (далее - автономный округ) от 5 октября 2018 года N 349-п "О государственной программе Ханты-Мансийского автономного округа </w:t>
            </w:r>
            <w:r w:rsidR="001720C4" w:rsidRPr="006B71E0">
              <w:t>–</w:t>
            </w:r>
            <w:r w:rsidRPr="006B71E0">
              <w:t xml:space="preserve"> Югры "Реализация государственной национальной политики и профилактика экстремизма"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Ответственный исполнитель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Департамент внутренней политики автономного округа (далее - Депполитики Югры)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Соисполнители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Аппарат Губернатора автономного округа;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Департамент гражданской защиты населения автономного округа (далее - Департамент гражданской защиты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Департамент информационных технологий и </w:t>
            </w:r>
            <w:proofErr w:type="gramStart"/>
            <w:r w:rsidRPr="006B71E0">
              <w:t>цифрового</w:t>
            </w:r>
            <w:proofErr w:type="gramEnd"/>
            <w:r w:rsidRPr="006B71E0">
              <w:t xml:space="preserve"> развития автономного округа (далее - </w:t>
            </w:r>
            <w:proofErr w:type="spellStart"/>
            <w:r w:rsidRPr="006B71E0">
              <w:t>Депинформтехнологий</w:t>
            </w:r>
            <w:proofErr w:type="spellEnd"/>
            <w:r w:rsidRPr="006B71E0">
              <w:t xml:space="preserve">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Департамент культуры автономного округа (далее - </w:t>
            </w:r>
            <w:proofErr w:type="spellStart"/>
            <w:r w:rsidRPr="006B71E0">
              <w:t>Депкультуры</w:t>
            </w:r>
            <w:proofErr w:type="spellEnd"/>
            <w:r w:rsidRPr="006B71E0">
              <w:t xml:space="preserve">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Департамент недропользования и природных ресурсов автономного округа (далее - </w:t>
            </w:r>
            <w:proofErr w:type="spellStart"/>
            <w:r w:rsidRPr="006B71E0">
              <w:t>Депнедра</w:t>
            </w:r>
            <w:proofErr w:type="spellEnd"/>
            <w:r w:rsidRPr="006B71E0">
              <w:t xml:space="preserve"> и природных ресурсов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Департамент образования и молодежной политики автономного округа (далее - Депобразования и молодежи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Департамент общественных и внешних связей автономного округа (далее - Департамент общественных и внешних связей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Департамент социального развития автономного округа (далее - </w:t>
            </w:r>
            <w:proofErr w:type="spellStart"/>
            <w:r w:rsidRPr="006B71E0">
              <w:t>Депсоцразвития</w:t>
            </w:r>
            <w:proofErr w:type="spellEnd"/>
            <w:r w:rsidRPr="006B71E0">
              <w:t xml:space="preserve">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Департамент труда и занятости населения автономного округа (далее - Дептруда и занятости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Департамент физической культуры и спорта автономного округа (далее - </w:t>
            </w:r>
            <w:proofErr w:type="spellStart"/>
            <w:r w:rsidRPr="006B71E0">
              <w:t>Депспорт</w:t>
            </w:r>
            <w:proofErr w:type="spellEnd"/>
            <w:r w:rsidRPr="006B71E0">
              <w:t xml:space="preserve"> Югры);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Служба по контролю и надзору в сфере охраны окружающей среды, объектов животного мира и лесных отношений автономного округа (далее - </w:t>
            </w:r>
            <w:proofErr w:type="spellStart"/>
            <w:r w:rsidRPr="006B71E0">
              <w:t>Природнадзор</w:t>
            </w:r>
            <w:proofErr w:type="spellEnd"/>
            <w:r w:rsidRPr="006B71E0">
              <w:t xml:space="preserve"> Югры)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Цель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Укрепление единства многонационального народа Российской Федерации, профилактика экстремизма на национальной и религиозной почве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lastRenderedPageBreak/>
              <w:t>Задачи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1. Укрепление межнационального и межконфессионального согласия, сохранение этнокультурного многообразия народов Российской Федерации, проживающих в автономном округе.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2. Предупреждение экстремистской деятельности, укрепление гражданского единства.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3. Содействие социальной и культурной адаптации мигрантов.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4. Содействие развитию и консолидации казачества через усиление его роли в решении государственных и муниципальных задач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AF1B89" w:rsidP="006B71E0">
            <w:pPr>
              <w:pStyle w:val="ConsPlusNormal"/>
              <w:jc w:val="both"/>
            </w:pPr>
            <w:hyperlink w:anchor="Par240" w:tooltip="Подпрограмма 1. Гармонизация межнациональных и межконфессиональных отношений" w:history="1">
              <w:r w:rsidR="00D63EE2" w:rsidRPr="006B71E0">
                <w:t>Подпрограмма 1</w:t>
              </w:r>
            </w:hyperlink>
            <w:r w:rsidR="00D63EE2" w:rsidRPr="006B71E0">
              <w:t xml:space="preserve"> "Гармонизация межнациональных и межконфессиональных отношений".</w:t>
            </w:r>
          </w:p>
          <w:p w:rsidR="00D63EE2" w:rsidRPr="006B71E0" w:rsidRDefault="00AF1B89" w:rsidP="006B71E0">
            <w:pPr>
              <w:pStyle w:val="ConsPlusNormal"/>
              <w:jc w:val="both"/>
            </w:pPr>
            <w:hyperlink w:anchor="Par982" w:tooltip="Подпрограмма 2. Профилактика экстремизма, обеспечение гражданского единства" w:history="1">
              <w:r w:rsidR="00D63EE2" w:rsidRPr="006B71E0">
                <w:t>Подпрограмма 2</w:t>
              </w:r>
            </w:hyperlink>
            <w:r w:rsidR="00D63EE2" w:rsidRPr="006B71E0">
              <w:t xml:space="preserve"> "Профилактика экстремизма, обеспечение гражданского единства".</w:t>
            </w:r>
          </w:p>
          <w:p w:rsidR="00D63EE2" w:rsidRPr="006B71E0" w:rsidRDefault="00AF1B89" w:rsidP="006B71E0">
            <w:pPr>
              <w:pStyle w:val="ConsPlusNormal"/>
              <w:jc w:val="both"/>
            </w:pPr>
            <w:hyperlink w:anchor="Par1664" w:tooltip="Подпрограмма 3. Развитие российского казачества" w:history="1">
              <w:r w:rsidR="00D63EE2" w:rsidRPr="006B71E0">
                <w:t>Подпрограмма 3</w:t>
              </w:r>
            </w:hyperlink>
            <w:r w:rsidR="00D63EE2" w:rsidRPr="006B71E0">
              <w:t xml:space="preserve"> "Развитие российского казачества"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</w:pP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Целевые показатели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увеличение доли граждан, положительно оценивающих состояние межнациональных отношений в автономном округе, в общем количестве граждан на 15,6%;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увеличение численности участников мероприятий, направленных на этнокультурное развитие народов России, проживающих в автономном округе, на 3,0 тыс. человек;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увеличение количества участников мероприятий, направленных на укрепление общероссийского гражданского единства, проживающих в автономном округе, на 2,3 тыс. человек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Сроки реализации государственной программы (разрабатывается на срок от трех лет)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>2019 - 2025 годы и на период до 2030 года</w:t>
            </w:r>
          </w:p>
        </w:tc>
      </w:tr>
      <w:tr w:rsidR="00D63EE2" w:rsidRPr="006B71E0" w:rsidTr="006B71E0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>
            <w:pPr>
              <w:pStyle w:val="ConsPlusNormal"/>
              <w:jc w:val="both"/>
            </w:pPr>
            <w:r w:rsidRPr="006B71E0">
              <w:t>Параметры финансового обеспечения государственной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общее финансирование государственной программы: </w:t>
            </w:r>
            <w:r w:rsidR="00D26179" w:rsidRPr="006B71E0">
              <w:t>496552,6</w:t>
            </w:r>
            <w:r w:rsidRPr="006B71E0">
              <w:t xml:space="preserve"> тыс. рублей, в том числе: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2019 год - </w:t>
            </w:r>
            <w:r w:rsidR="0038392E" w:rsidRPr="006B71E0">
              <w:t xml:space="preserve">48018,7 </w:t>
            </w:r>
            <w:r w:rsidRPr="006B71E0">
              <w:t>тыс. рублей,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2020 год - </w:t>
            </w:r>
            <w:r w:rsidR="00C60017" w:rsidRPr="006B71E0">
              <w:t>42779,9</w:t>
            </w:r>
            <w:r w:rsidR="00AB1D2E" w:rsidRPr="006B71E0">
              <w:t xml:space="preserve"> </w:t>
            </w:r>
            <w:r w:rsidRPr="006B71E0">
              <w:t>тыс. рублей,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2021 год - </w:t>
            </w:r>
            <w:r w:rsidR="00AB1D2E" w:rsidRPr="006B71E0">
              <w:t xml:space="preserve">40575,4 </w:t>
            </w:r>
            <w:r w:rsidRPr="006B71E0">
              <w:t>тыс. рублей,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2022 год - </w:t>
            </w:r>
            <w:r w:rsidR="00AB1D2E" w:rsidRPr="006B71E0">
              <w:t xml:space="preserve">40575,4 </w:t>
            </w:r>
            <w:r w:rsidRPr="006B71E0">
              <w:t>тыс. рублей,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lastRenderedPageBreak/>
              <w:t xml:space="preserve">2023 год - </w:t>
            </w:r>
            <w:r w:rsidR="00AB1D2E" w:rsidRPr="006B71E0">
              <w:t xml:space="preserve">40575,4 </w:t>
            </w:r>
            <w:r w:rsidRPr="006B71E0">
              <w:t>тыс. рублей,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2024 год - </w:t>
            </w:r>
            <w:r w:rsidR="00AB1D2E" w:rsidRPr="006B71E0">
              <w:t xml:space="preserve">40575,4 </w:t>
            </w:r>
            <w:r w:rsidRPr="006B71E0">
              <w:t>тыс. рублей,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2025 год - </w:t>
            </w:r>
            <w:r w:rsidR="00AB1D2E" w:rsidRPr="006B71E0">
              <w:t xml:space="preserve">40575,4 </w:t>
            </w:r>
            <w:r w:rsidRPr="006B71E0">
              <w:t>тыс. рублей,</w:t>
            </w:r>
          </w:p>
          <w:p w:rsidR="00D63EE2" w:rsidRPr="006B71E0" w:rsidRDefault="00D63EE2" w:rsidP="006B71E0">
            <w:pPr>
              <w:pStyle w:val="ConsPlusNormal"/>
              <w:jc w:val="both"/>
            </w:pPr>
            <w:r w:rsidRPr="006B71E0">
              <w:t xml:space="preserve">2026 - 2030 годы - </w:t>
            </w:r>
            <w:r w:rsidR="00AB1D2E" w:rsidRPr="006B71E0">
              <w:t xml:space="preserve">202877,0 </w:t>
            </w:r>
            <w:r w:rsidRPr="006B71E0">
              <w:t>тыс. рублей</w:t>
            </w:r>
          </w:p>
        </w:tc>
      </w:tr>
    </w:tbl>
    <w:p w:rsidR="00D63EE2" w:rsidRPr="00720986" w:rsidRDefault="00D63EE2">
      <w:pPr>
        <w:pStyle w:val="ConsPlusNormal"/>
        <w:jc w:val="both"/>
      </w:pPr>
    </w:p>
    <w:sectPr w:rsidR="00D63EE2" w:rsidRPr="00720986" w:rsidSect="000D7DD9">
      <w:headerReference w:type="default" r:id="rId8"/>
      <w:headerReference w:type="first" r:id="rId9"/>
      <w:pgSz w:w="11906" w:h="16838"/>
      <w:pgMar w:top="1440" w:right="566" w:bottom="1440" w:left="1133" w:header="0" w:footer="0" w:gutter="0"/>
      <w:pgNumType w:start="293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2E" w:rsidRDefault="004B722E">
      <w:pPr>
        <w:spacing w:after="0" w:line="240" w:lineRule="auto"/>
      </w:pPr>
      <w:r>
        <w:separator/>
      </w:r>
    </w:p>
  </w:endnote>
  <w:endnote w:type="continuationSeparator" w:id="0">
    <w:p w:rsidR="004B722E" w:rsidRDefault="004B7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2E" w:rsidRDefault="004B722E">
      <w:pPr>
        <w:spacing w:after="0" w:line="240" w:lineRule="auto"/>
      </w:pPr>
      <w:r>
        <w:separator/>
      </w:r>
    </w:p>
  </w:footnote>
  <w:footnote w:type="continuationSeparator" w:id="0">
    <w:p w:rsidR="004B722E" w:rsidRDefault="004B7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7DD9" w:rsidRDefault="000D7DD9">
    <w:pPr>
      <w:pStyle w:val="a3"/>
      <w:jc w:val="right"/>
    </w:pPr>
  </w:p>
  <w:p w:rsidR="000D7DD9" w:rsidRPr="000D7DD9" w:rsidRDefault="000D7DD9">
    <w:pPr>
      <w:pStyle w:val="a3"/>
      <w:jc w:val="right"/>
      <w:rPr>
        <w:rFonts w:ascii="Times New Roman" w:hAnsi="Times New Roman"/>
        <w:sz w:val="24"/>
        <w:szCs w:val="24"/>
      </w:rPr>
    </w:pPr>
    <w:sdt>
      <w:sdtPr>
        <w:id w:val="-513920787"/>
        <w:docPartObj>
          <w:docPartGallery w:val="Page Numbers (Top of Page)"/>
          <w:docPartUnique/>
        </w:docPartObj>
      </w:sdtPr>
      <w:sdtEndPr>
        <w:rPr>
          <w:rFonts w:ascii="Times New Roman" w:hAnsi="Times New Roman"/>
          <w:sz w:val="24"/>
          <w:szCs w:val="24"/>
        </w:rPr>
      </w:sdtEndPr>
      <w:sdtContent>
        <w:r w:rsidRPr="000D7DD9">
          <w:rPr>
            <w:rFonts w:ascii="Times New Roman" w:hAnsi="Times New Roman"/>
            <w:sz w:val="24"/>
            <w:szCs w:val="24"/>
          </w:rPr>
          <w:fldChar w:fldCharType="begin"/>
        </w:r>
        <w:r w:rsidRPr="000D7DD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7DD9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2931</w:t>
        </w:r>
        <w:r w:rsidRPr="000D7DD9">
          <w:rPr>
            <w:rFonts w:ascii="Times New Roman" w:hAnsi="Times New Roman"/>
            <w:sz w:val="24"/>
            <w:szCs w:val="24"/>
          </w:rPr>
          <w:fldChar w:fldCharType="end"/>
        </w:r>
      </w:sdtContent>
    </w:sdt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10140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D7DD9" w:rsidRDefault="000D7DD9">
        <w:pPr>
          <w:pStyle w:val="a3"/>
          <w:jc w:val="right"/>
        </w:pPr>
      </w:p>
      <w:p w:rsidR="000D7DD9" w:rsidRPr="000D7DD9" w:rsidRDefault="000D7DD9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D7DD9">
          <w:rPr>
            <w:rFonts w:ascii="Times New Roman" w:hAnsi="Times New Roman"/>
            <w:sz w:val="24"/>
            <w:szCs w:val="24"/>
          </w:rPr>
          <w:fldChar w:fldCharType="begin"/>
        </w:r>
        <w:r w:rsidRPr="000D7DD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D7DD9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2930</w:t>
        </w:r>
        <w:r w:rsidRPr="000D7DD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1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C23"/>
    <w:rsid w:val="00024C6A"/>
    <w:rsid w:val="00074241"/>
    <w:rsid w:val="000D7DD9"/>
    <w:rsid w:val="000E239C"/>
    <w:rsid w:val="001720C4"/>
    <w:rsid w:val="0018694D"/>
    <w:rsid w:val="002103EF"/>
    <w:rsid w:val="00212B11"/>
    <w:rsid w:val="00216C52"/>
    <w:rsid w:val="002E2E59"/>
    <w:rsid w:val="003041E6"/>
    <w:rsid w:val="0038392E"/>
    <w:rsid w:val="003A3688"/>
    <w:rsid w:val="003C73B1"/>
    <w:rsid w:val="00405C23"/>
    <w:rsid w:val="004061DB"/>
    <w:rsid w:val="004B722E"/>
    <w:rsid w:val="004D5691"/>
    <w:rsid w:val="00527A6E"/>
    <w:rsid w:val="00534FFA"/>
    <w:rsid w:val="00536298"/>
    <w:rsid w:val="00694CA4"/>
    <w:rsid w:val="006B71E0"/>
    <w:rsid w:val="00710611"/>
    <w:rsid w:val="00720986"/>
    <w:rsid w:val="00773C7F"/>
    <w:rsid w:val="00784E18"/>
    <w:rsid w:val="007F0457"/>
    <w:rsid w:val="007F721F"/>
    <w:rsid w:val="008C063A"/>
    <w:rsid w:val="00951353"/>
    <w:rsid w:val="00961B13"/>
    <w:rsid w:val="00990D63"/>
    <w:rsid w:val="00A05510"/>
    <w:rsid w:val="00A81C35"/>
    <w:rsid w:val="00AB1D2E"/>
    <w:rsid w:val="00AC2545"/>
    <w:rsid w:val="00B2317D"/>
    <w:rsid w:val="00B4534D"/>
    <w:rsid w:val="00B80677"/>
    <w:rsid w:val="00C511FF"/>
    <w:rsid w:val="00C57F4F"/>
    <w:rsid w:val="00C60017"/>
    <w:rsid w:val="00CA46D7"/>
    <w:rsid w:val="00CE2C0C"/>
    <w:rsid w:val="00D14571"/>
    <w:rsid w:val="00D26179"/>
    <w:rsid w:val="00D63EE2"/>
    <w:rsid w:val="00E0574D"/>
    <w:rsid w:val="00E41B0E"/>
    <w:rsid w:val="00E670F9"/>
    <w:rsid w:val="00E87FA8"/>
    <w:rsid w:val="00EA08C3"/>
    <w:rsid w:val="00ED1681"/>
    <w:rsid w:val="00F76120"/>
    <w:rsid w:val="00F96FD0"/>
    <w:rsid w:val="00FC463D"/>
    <w:rsid w:val="00FD0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6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7612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761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76120"/>
    <w:rPr>
      <w:rFonts w:cs="Times New Roman"/>
    </w:rPr>
  </w:style>
  <w:style w:type="paragraph" w:styleId="a7">
    <w:name w:val="Balloon Text"/>
    <w:basedOn w:val="a"/>
    <w:link w:val="a8"/>
    <w:uiPriority w:val="99"/>
    <w:rsid w:val="00172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1720C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61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7612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7612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76120"/>
    <w:rPr>
      <w:rFonts w:cs="Times New Roman"/>
    </w:rPr>
  </w:style>
  <w:style w:type="paragraph" w:styleId="a7">
    <w:name w:val="Balloon Text"/>
    <w:basedOn w:val="a"/>
    <w:link w:val="a8"/>
    <w:uiPriority w:val="99"/>
    <w:rsid w:val="00172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locked/>
    <w:rsid w:val="001720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84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31505-0336-4422-9461-DA13365A5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3897</Characters>
  <Application>Microsoft Office Word</Application>
  <DocSecurity>6</DocSecurity>
  <Lines>32</Lines>
  <Paragraphs>8</Paragraphs>
  <ScaleCrop>false</ScaleCrop>
  <Company>КонсультантПлюс Версия 4018.00.50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ХМАО - Югры от 05.10.2018 N 349-п(ред. от 05.04.2019)"О государственной программе Ханты-Мансийского автономного округа - Югры "Реализация государственной национальной политики и профилактика экстремизма"(вместе с "Порядком пред</dc:title>
  <dc:creator>ButerusTA</dc:creator>
  <cp:lastModifiedBy>Шубная  Юлия  Петровна</cp:lastModifiedBy>
  <cp:revision>2</cp:revision>
  <cp:lastPrinted>2019-09-09T09:48:00Z</cp:lastPrinted>
  <dcterms:created xsi:type="dcterms:W3CDTF">2019-10-21T06:09:00Z</dcterms:created>
  <dcterms:modified xsi:type="dcterms:W3CDTF">2019-10-21T06:09:00Z</dcterms:modified>
</cp:coreProperties>
</file>